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457" w:rsidRDefault="00D06399" w:rsidP="005476F9">
      <w:pPr>
        <w:widowControl/>
        <w:spacing w:line="400" w:lineRule="atLeast"/>
        <w:jc w:val="center"/>
        <w:rPr>
          <w:rFonts w:ascii="方正小标宋简体" w:eastAsia="方正小标宋简体" w:hAnsi="楷体" w:hint="eastAsia"/>
          <w:sz w:val="30"/>
          <w:szCs w:val="30"/>
        </w:rPr>
      </w:pPr>
      <w:r w:rsidRPr="00EF3BC1">
        <w:rPr>
          <w:rFonts w:ascii="方正小标宋简体" w:eastAsia="方正小标宋简体" w:hAnsi="楷体" w:hint="eastAsia"/>
          <w:sz w:val="30"/>
          <w:szCs w:val="30"/>
        </w:rPr>
        <w:t>滁州学院</w:t>
      </w:r>
      <w:r>
        <w:rPr>
          <w:rFonts w:ascii="方正小标宋简体" w:eastAsia="方正小标宋简体" w:hAnsi="楷体" w:hint="eastAsia"/>
          <w:sz w:val="30"/>
          <w:szCs w:val="30"/>
        </w:rPr>
        <w:t>说课</w:t>
      </w:r>
      <w:r w:rsidRPr="00EF3BC1">
        <w:rPr>
          <w:rFonts w:ascii="方正小标宋简体" w:eastAsia="方正小标宋简体" w:hAnsi="楷体" w:hint="eastAsia"/>
          <w:sz w:val="30"/>
          <w:szCs w:val="30"/>
        </w:rPr>
        <w:t>质量评价表</w:t>
      </w:r>
    </w:p>
    <w:p w:rsidR="007E6393" w:rsidRPr="007E6393" w:rsidRDefault="007E6393" w:rsidP="007E6393">
      <w:pPr>
        <w:spacing w:before="60" w:after="60" w:line="500" w:lineRule="exact"/>
        <w:rPr>
          <w:rFonts w:ascii="仿宋_GB2312" w:eastAsia="仿宋_GB2312" w:hAnsi="宋体" w:cs="Times New Roman" w:hint="eastAsia"/>
          <w:sz w:val="24"/>
          <w:szCs w:val="24"/>
          <w:u w:val="single"/>
        </w:rPr>
      </w:pPr>
      <w:r w:rsidRPr="007E6393">
        <w:rPr>
          <w:rFonts w:ascii="仿宋_GB2312" w:eastAsia="仿宋_GB2312" w:hAnsi="宋体" w:cs="Times New Roman" w:hint="eastAsia"/>
          <w:sz w:val="24"/>
          <w:szCs w:val="24"/>
        </w:rPr>
        <w:t>系（教研室）:</w:t>
      </w:r>
      <w:r w:rsidRPr="007E6393">
        <w:rPr>
          <w:rFonts w:ascii="仿宋_GB2312" w:eastAsia="仿宋_GB2312" w:hAnsi="宋体" w:cs="Times New Roman" w:hint="eastAsia"/>
          <w:sz w:val="24"/>
          <w:szCs w:val="24"/>
          <w:u w:val="single"/>
        </w:rPr>
        <w:t xml:space="preserve">               </w:t>
      </w:r>
      <w:r w:rsidRPr="007E6393">
        <w:rPr>
          <w:rFonts w:ascii="仿宋_GB2312" w:eastAsia="仿宋_GB2312" w:hAnsi="宋体" w:cs="Times New Roman" w:hint="eastAsia"/>
          <w:sz w:val="24"/>
          <w:szCs w:val="24"/>
        </w:rPr>
        <w:t>课程名称:</w:t>
      </w:r>
      <w:r w:rsidRPr="007E6393">
        <w:rPr>
          <w:rFonts w:ascii="仿宋_GB2312" w:eastAsia="仿宋_GB2312" w:hAnsi="宋体" w:cs="Times New Roman" w:hint="eastAsia"/>
          <w:sz w:val="24"/>
          <w:szCs w:val="24"/>
          <w:u w:val="single"/>
        </w:rPr>
        <w:t xml:space="preserve">                     </w:t>
      </w:r>
      <w:r w:rsidRPr="007E6393">
        <w:rPr>
          <w:rFonts w:ascii="仿宋_GB2312" w:eastAsia="仿宋_GB2312" w:hAnsi="宋体" w:cs="Times New Roman" w:hint="eastAsia"/>
          <w:sz w:val="24"/>
          <w:szCs w:val="24"/>
        </w:rPr>
        <w:t>授课教师：</w:t>
      </w:r>
      <w:r w:rsidRPr="007E6393">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u w:val="single"/>
        </w:rPr>
        <w:t xml:space="preserve">   </w:t>
      </w:r>
    </w:p>
    <w:p w:rsidR="007E6393" w:rsidRPr="005476F9" w:rsidRDefault="007E6393" w:rsidP="007E6393">
      <w:pPr>
        <w:widowControl/>
        <w:spacing w:line="400" w:lineRule="atLeast"/>
        <w:rPr>
          <w:rFonts w:ascii="宋体" w:eastAsia="宋体" w:hAnsi="宋体" w:cs="宋体"/>
          <w:kern w:val="0"/>
          <w:sz w:val="24"/>
          <w:szCs w:val="24"/>
        </w:rPr>
      </w:pPr>
      <w:r w:rsidRPr="007E6393">
        <w:rPr>
          <w:rFonts w:ascii="仿宋_GB2312" w:eastAsia="仿宋_GB2312" w:hAnsi="宋体" w:cs="Times New Roman" w:hint="eastAsia"/>
          <w:sz w:val="24"/>
          <w:szCs w:val="24"/>
        </w:rPr>
        <w:t>说课内容：</w:t>
      </w:r>
      <w:r w:rsidRPr="007E6393">
        <w:rPr>
          <w:rFonts w:ascii="仿宋_GB2312" w:eastAsia="仿宋_GB2312" w:hAnsi="宋体" w:cs="Times New Roman" w:hint="eastAsia"/>
          <w:sz w:val="24"/>
          <w:szCs w:val="24"/>
          <w:u w:val="single"/>
        </w:rPr>
        <w:t xml:space="preserve">                  </w:t>
      </w:r>
      <w:r w:rsidRPr="007E6393">
        <w:rPr>
          <w:rFonts w:ascii="仿宋_GB2312" w:eastAsia="仿宋_GB2312" w:hAnsi="宋体" w:cs="Times New Roman" w:hint="eastAsia"/>
          <w:sz w:val="24"/>
          <w:szCs w:val="24"/>
        </w:rPr>
        <w:t>填表人签名：</w:t>
      </w:r>
      <w:r w:rsidRPr="007E6393">
        <w:rPr>
          <w:rFonts w:ascii="仿宋_GB2312" w:eastAsia="仿宋_GB2312" w:hAnsi="宋体" w:cs="Times New Roman" w:hint="eastAsia"/>
          <w:sz w:val="24"/>
          <w:szCs w:val="24"/>
          <w:u w:val="single"/>
        </w:rPr>
        <w:t xml:space="preserve">                  </w:t>
      </w:r>
      <w:r w:rsidRPr="007E6393">
        <w:rPr>
          <w:rFonts w:ascii="仿宋_GB2312" w:eastAsia="仿宋_GB2312" w:hAnsi="宋体" w:cs="Times New Roman" w:hint="eastAsia"/>
          <w:sz w:val="24"/>
          <w:szCs w:val="24"/>
        </w:rPr>
        <w:t>填表时间：</w:t>
      </w:r>
      <w:r w:rsidRPr="007E6393">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u w:val="single"/>
        </w:rPr>
        <w:t xml:space="preserve">    </w:t>
      </w:r>
    </w:p>
    <w:tbl>
      <w:tblPr>
        <w:tblW w:w="5192" w:type="pct"/>
        <w:jc w:val="center"/>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73"/>
        <w:gridCol w:w="7462"/>
        <w:gridCol w:w="908"/>
      </w:tblGrid>
      <w:tr w:rsidR="00485BC9" w:rsidRPr="007E6393" w:rsidTr="009F7D91">
        <w:trPr>
          <w:trHeight w:val="460"/>
          <w:jc w:val="center"/>
        </w:trPr>
        <w:tc>
          <w:tcPr>
            <w:tcW w:w="660" w:type="pct"/>
            <w:shd w:val="clear" w:color="auto" w:fill="auto"/>
            <w:tcMar>
              <w:top w:w="0" w:type="dxa"/>
              <w:left w:w="108" w:type="dxa"/>
              <w:bottom w:w="0" w:type="dxa"/>
              <w:right w:w="108" w:type="dxa"/>
            </w:tcMar>
            <w:vAlign w:val="center"/>
            <w:hideMark/>
          </w:tcPr>
          <w:p w:rsidR="00485BC9" w:rsidRPr="007E6393" w:rsidRDefault="00485BC9" w:rsidP="00A82457">
            <w:pPr>
              <w:widowControl/>
              <w:spacing w:line="400" w:lineRule="atLeast"/>
              <w:jc w:val="center"/>
              <w:rPr>
                <w:rFonts w:ascii="仿宋_GB2312" w:eastAsia="仿宋_GB2312" w:hAnsiTheme="minorEastAsia" w:cs="宋体" w:hint="eastAsia"/>
                <w:b/>
                <w:kern w:val="0"/>
                <w:sz w:val="24"/>
                <w:szCs w:val="24"/>
              </w:rPr>
            </w:pPr>
            <w:r w:rsidRPr="007E6393">
              <w:rPr>
                <w:rFonts w:ascii="仿宋_GB2312" w:eastAsia="仿宋_GB2312" w:hAnsiTheme="minorEastAsia" w:cs="宋体" w:hint="eastAsia"/>
                <w:b/>
                <w:kern w:val="0"/>
                <w:sz w:val="24"/>
                <w:szCs w:val="24"/>
              </w:rPr>
              <w:t>指标</w:t>
            </w:r>
          </w:p>
        </w:tc>
        <w:tc>
          <w:tcPr>
            <w:tcW w:w="3869" w:type="pct"/>
            <w:shd w:val="clear" w:color="auto" w:fill="auto"/>
            <w:tcMar>
              <w:top w:w="0" w:type="dxa"/>
              <w:left w:w="108" w:type="dxa"/>
              <w:bottom w:w="0" w:type="dxa"/>
              <w:right w:w="108" w:type="dxa"/>
            </w:tcMar>
            <w:vAlign w:val="center"/>
            <w:hideMark/>
          </w:tcPr>
          <w:p w:rsidR="00485BC9" w:rsidRPr="007E6393" w:rsidRDefault="00485BC9" w:rsidP="00A82457">
            <w:pPr>
              <w:widowControl/>
              <w:spacing w:line="400" w:lineRule="atLeast"/>
              <w:jc w:val="center"/>
              <w:rPr>
                <w:rFonts w:ascii="仿宋_GB2312" w:eastAsia="仿宋_GB2312" w:hAnsiTheme="minorEastAsia" w:cs="宋体" w:hint="eastAsia"/>
                <w:b/>
                <w:kern w:val="0"/>
                <w:sz w:val="24"/>
                <w:szCs w:val="24"/>
              </w:rPr>
            </w:pPr>
            <w:r w:rsidRPr="007E6393">
              <w:rPr>
                <w:rFonts w:ascii="仿宋_GB2312" w:eastAsia="仿宋_GB2312" w:hAnsiTheme="minorEastAsia" w:cs="宋体" w:hint="eastAsia"/>
                <w:b/>
                <w:kern w:val="0"/>
                <w:sz w:val="24"/>
                <w:szCs w:val="24"/>
              </w:rPr>
              <w:t>指标内涵（参考）</w:t>
            </w:r>
          </w:p>
        </w:tc>
        <w:tc>
          <w:tcPr>
            <w:tcW w:w="471" w:type="pct"/>
            <w:shd w:val="clear" w:color="auto" w:fill="auto"/>
            <w:tcMar>
              <w:top w:w="0" w:type="dxa"/>
              <w:left w:w="108" w:type="dxa"/>
              <w:bottom w:w="0" w:type="dxa"/>
              <w:right w:w="108" w:type="dxa"/>
            </w:tcMar>
            <w:vAlign w:val="center"/>
            <w:hideMark/>
          </w:tcPr>
          <w:p w:rsidR="00485BC9" w:rsidRPr="007E6393" w:rsidRDefault="00485BC9" w:rsidP="00A82457">
            <w:pPr>
              <w:widowControl/>
              <w:spacing w:line="400" w:lineRule="atLeast"/>
              <w:jc w:val="center"/>
              <w:rPr>
                <w:rFonts w:ascii="仿宋_GB2312" w:eastAsia="仿宋_GB2312" w:hAnsiTheme="minorEastAsia" w:cs="宋体" w:hint="eastAsia"/>
                <w:b/>
                <w:kern w:val="0"/>
                <w:sz w:val="24"/>
                <w:szCs w:val="24"/>
              </w:rPr>
            </w:pPr>
            <w:r w:rsidRPr="007E6393">
              <w:rPr>
                <w:rFonts w:ascii="仿宋_GB2312" w:eastAsia="仿宋_GB2312" w:hAnsiTheme="minorEastAsia" w:cs="宋体" w:hint="eastAsia"/>
                <w:b/>
                <w:kern w:val="0"/>
                <w:sz w:val="24"/>
                <w:szCs w:val="24"/>
              </w:rPr>
              <w:t>得分</w:t>
            </w:r>
          </w:p>
        </w:tc>
      </w:tr>
      <w:tr w:rsidR="00485BC9" w:rsidRPr="007E6393" w:rsidTr="009F7D91">
        <w:trPr>
          <w:trHeight w:val="578"/>
          <w:jc w:val="center"/>
        </w:trPr>
        <w:tc>
          <w:tcPr>
            <w:tcW w:w="660" w:type="pct"/>
            <w:shd w:val="clear" w:color="auto" w:fill="auto"/>
            <w:tcMar>
              <w:top w:w="0" w:type="dxa"/>
              <w:left w:w="108" w:type="dxa"/>
              <w:bottom w:w="0" w:type="dxa"/>
              <w:right w:w="108" w:type="dxa"/>
            </w:tcMar>
            <w:vAlign w:val="center"/>
            <w:hideMark/>
          </w:tcPr>
          <w:p w:rsidR="00485BC9" w:rsidRPr="007E6393" w:rsidRDefault="00485BC9" w:rsidP="00485BC9">
            <w:pPr>
              <w:widowControl/>
              <w:spacing w:line="400" w:lineRule="atLeast"/>
              <w:jc w:val="center"/>
              <w:rPr>
                <w:rFonts w:ascii="仿宋_GB2312" w:eastAsia="仿宋_GB2312" w:hAnsiTheme="minorEastAsia" w:cs="宋体" w:hint="eastAsia"/>
                <w:kern w:val="0"/>
                <w:sz w:val="24"/>
                <w:szCs w:val="24"/>
              </w:rPr>
            </w:pPr>
            <w:r w:rsidRPr="007E6393">
              <w:rPr>
                <w:rFonts w:ascii="仿宋_GB2312" w:eastAsia="仿宋_GB2312" w:hAnsiTheme="minorEastAsia" w:cs="宋体" w:hint="eastAsia"/>
                <w:kern w:val="0"/>
                <w:sz w:val="24"/>
                <w:szCs w:val="24"/>
              </w:rPr>
              <w:t>课程定位</w:t>
            </w:r>
          </w:p>
          <w:p w:rsidR="00485BC9" w:rsidRPr="007E6393" w:rsidRDefault="00485BC9" w:rsidP="00D06399">
            <w:pPr>
              <w:widowControl/>
              <w:spacing w:line="400" w:lineRule="atLeast"/>
              <w:jc w:val="center"/>
              <w:rPr>
                <w:rFonts w:ascii="仿宋_GB2312" w:eastAsia="仿宋_GB2312" w:hAnsiTheme="minorEastAsia" w:cs="宋体" w:hint="eastAsia"/>
                <w:kern w:val="0"/>
                <w:sz w:val="24"/>
                <w:szCs w:val="24"/>
              </w:rPr>
            </w:pPr>
            <w:r w:rsidRPr="007E6393">
              <w:rPr>
                <w:rFonts w:ascii="仿宋_GB2312" w:eastAsia="仿宋_GB2312" w:hAnsiTheme="minorEastAsia" w:cs="宋体" w:hint="eastAsia"/>
                <w:kern w:val="0"/>
                <w:sz w:val="24"/>
                <w:szCs w:val="24"/>
              </w:rPr>
              <w:t>（10分）</w:t>
            </w:r>
          </w:p>
        </w:tc>
        <w:tc>
          <w:tcPr>
            <w:tcW w:w="3869" w:type="pct"/>
            <w:shd w:val="clear" w:color="auto" w:fill="auto"/>
            <w:tcMar>
              <w:top w:w="0" w:type="dxa"/>
              <w:left w:w="108" w:type="dxa"/>
              <w:bottom w:w="0" w:type="dxa"/>
              <w:right w:w="108" w:type="dxa"/>
            </w:tcMar>
            <w:vAlign w:val="center"/>
            <w:hideMark/>
          </w:tcPr>
          <w:p w:rsidR="00485BC9" w:rsidRPr="007E6393" w:rsidRDefault="00485BC9" w:rsidP="00A82457">
            <w:pPr>
              <w:widowControl/>
              <w:spacing w:line="400" w:lineRule="atLeast"/>
              <w:jc w:val="left"/>
              <w:rPr>
                <w:rFonts w:ascii="仿宋_GB2312" w:eastAsia="仿宋_GB2312" w:hAnsiTheme="minorEastAsia" w:cs="宋体" w:hint="eastAsia"/>
                <w:kern w:val="0"/>
                <w:sz w:val="24"/>
                <w:szCs w:val="24"/>
              </w:rPr>
            </w:pPr>
            <w:r w:rsidRPr="007E6393">
              <w:rPr>
                <w:rFonts w:ascii="仿宋_GB2312" w:eastAsia="仿宋_GB2312" w:hAnsiTheme="minorEastAsia" w:cs="宋体" w:hint="eastAsia"/>
                <w:kern w:val="0"/>
                <w:sz w:val="24"/>
                <w:szCs w:val="24"/>
              </w:rPr>
              <w:t>◆明确课程与专业的关系，课程在人才培养方案中的地位和作用分析到位。</w:t>
            </w:r>
          </w:p>
          <w:p w:rsidR="00485BC9" w:rsidRPr="007E6393" w:rsidRDefault="00485BC9" w:rsidP="00A82457">
            <w:pPr>
              <w:widowControl/>
              <w:spacing w:line="400" w:lineRule="atLeast"/>
              <w:jc w:val="left"/>
              <w:rPr>
                <w:rFonts w:ascii="仿宋_GB2312" w:eastAsia="仿宋_GB2312" w:hAnsiTheme="minorEastAsia" w:cs="宋体" w:hint="eastAsia"/>
                <w:kern w:val="0"/>
                <w:sz w:val="24"/>
                <w:szCs w:val="24"/>
              </w:rPr>
            </w:pPr>
            <w:r w:rsidRPr="007E6393">
              <w:rPr>
                <w:rFonts w:ascii="仿宋_GB2312" w:eastAsia="仿宋_GB2312" w:hAnsi="宋体" w:hint="eastAsia"/>
                <w:sz w:val="24"/>
                <w:szCs w:val="24"/>
              </w:rPr>
              <w:t>◆</w:t>
            </w:r>
            <w:r w:rsidRPr="007E6393">
              <w:rPr>
                <w:rFonts w:ascii="仿宋_GB2312" w:eastAsia="仿宋_GB2312" w:hAnsiTheme="minorEastAsia" w:cs="宋体" w:hint="eastAsia"/>
                <w:kern w:val="0"/>
                <w:sz w:val="24"/>
                <w:szCs w:val="24"/>
              </w:rPr>
              <w:t>明确课程与学生的关系，分析学生对该课程的了解状况、知识储备、能力水平等方面比较透彻。</w:t>
            </w:r>
          </w:p>
          <w:p w:rsidR="00485BC9" w:rsidRPr="007E6393" w:rsidRDefault="00485BC9" w:rsidP="00A82457">
            <w:pPr>
              <w:widowControl/>
              <w:spacing w:line="400" w:lineRule="atLeast"/>
              <w:jc w:val="left"/>
              <w:rPr>
                <w:rFonts w:ascii="仿宋_GB2312" w:eastAsia="仿宋_GB2312" w:hAnsiTheme="minorEastAsia" w:cs="宋体" w:hint="eastAsia"/>
                <w:kern w:val="0"/>
                <w:sz w:val="24"/>
                <w:szCs w:val="24"/>
              </w:rPr>
            </w:pPr>
            <w:r w:rsidRPr="007E6393">
              <w:rPr>
                <w:rFonts w:ascii="仿宋_GB2312" w:eastAsia="仿宋_GB2312" w:hAnsi="宋体" w:hint="eastAsia"/>
                <w:sz w:val="24"/>
                <w:szCs w:val="24"/>
              </w:rPr>
              <w:t>◆</w:t>
            </w:r>
            <w:r w:rsidRPr="007E6393">
              <w:rPr>
                <w:rFonts w:ascii="仿宋_GB2312" w:eastAsia="仿宋_GB2312" w:hAnsiTheme="minorEastAsia" w:cs="宋体" w:hint="eastAsia"/>
                <w:kern w:val="0"/>
                <w:sz w:val="24"/>
                <w:szCs w:val="24"/>
              </w:rPr>
              <w:t>明确课程与前、后续课程的衔接关系。</w:t>
            </w:r>
          </w:p>
        </w:tc>
        <w:tc>
          <w:tcPr>
            <w:tcW w:w="471" w:type="pct"/>
            <w:shd w:val="clear" w:color="auto" w:fill="auto"/>
            <w:tcMar>
              <w:top w:w="0" w:type="dxa"/>
              <w:left w:w="108" w:type="dxa"/>
              <w:bottom w:w="0" w:type="dxa"/>
              <w:right w:w="108" w:type="dxa"/>
            </w:tcMar>
            <w:vAlign w:val="center"/>
          </w:tcPr>
          <w:p w:rsidR="00485BC9" w:rsidRPr="007E6393" w:rsidRDefault="00485BC9" w:rsidP="00A82457">
            <w:pPr>
              <w:spacing w:line="400" w:lineRule="atLeast"/>
              <w:jc w:val="center"/>
              <w:rPr>
                <w:rFonts w:ascii="仿宋_GB2312" w:eastAsia="仿宋_GB2312" w:hAnsiTheme="minorEastAsia" w:cs="宋体" w:hint="eastAsia"/>
                <w:kern w:val="0"/>
                <w:sz w:val="24"/>
                <w:szCs w:val="24"/>
              </w:rPr>
            </w:pPr>
          </w:p>
        </w:tc>
      </w:tr>
      <w:tr w:rsidR="00485BC9" w:rsidRPr="007E6393" w:rsidTr="009F7D91">
        <w:trPr>
          <w:trHeight w:val="366"/>
          <w:jc w:val="center"/>
        </w:trPr>
        <w:tc>
          <w:tcPr>
            <w:tcW w:w="660" w:type="pct"/>
            <w:shd w:val="clear" w:color="auto" w:fill="auto"/>
            <w:tcMar>
              <w:top w:w="0" w:type="dxa"/>
              <w:left w:w="108" w:type="dxa"/>
              <w:bottom w:w="0" w:type="dxa"/>
              <w:right w:w="108" w:type="dxa"/>
            </w:tcMar>
            <w:vAlign w:val="center"/>
            <w:hideMark/>
          </w:tcPr>
          <w:p w:rsidR="00485BC9" w:rsidRPr="007E6393" w:rsidRDefault="00485BC9" w:rsidP="00485BC9">
            <w:pPr>
              <w:widowControl/>
              <w:spacing w:line="400" w:lineRule="atLeast"/>
              <w:jc w:val="center"/>
              <w:rPr>
                <w:rFonts w:ascii="仿宋_GB2312" w:eastAsia="仿宋_GB2312" w:hAnsiTheme="minorEastAsia" w:cs="宋体" w:hint="eastAsia"/>
                <w:kern w:val="0"/>
                <w:sz w:val="24"/>
                <w:szCs w:val="24"/>
              </w:rPr>
            </w:pPr>
            <w:r w:rsidRPr="007E6393">
              <w:rPr>
                <w:rFonts w:ascii="仿宋_GB2312" w:eastAsia="仿宋_GB2312" w:hAnsiTheme="minorEastAsia" w:cs="宋体" w:hint="eastAsia"/>
                <w:kern w:val="0"/>
                <w:sz w:val="24"/>
                <w:szCs w:val="24"/>
              </w:rPr>
              <w:t>课程目标（10分）</w:t>
            </w:r>
          </w:p>
        </w:tc>
        <w:tc>
          <w:tcPr>
            <w:tcW w:w="3869" w:type="pct"/>
            <w:shd w:val="clear" w:color="auto" w:fill="auto"/>
            <w:tcMar>
              <w:top w:w="0" w:type="dxa"/>
              <w:left w:w="108" w:type="dxa"/>
              <w:bottom w:w="0" w:type="dxa"/>
              <w:right w:w="108" w:type="dxa"/>
            </w:tcMar>
            <w:vAlign w:val="center"/>
            <w:hideMark/>
          </w:tcPr>
          <w:p w:rsidR="00485BC9" w:rsidRPr="007E6393" w:rsidRDefault="00485BC9" w:rsidP="00485BC9">
            <w:pPr>
              <w:widowControl/>
              <w:spacing w:line="400" w:lineRule="atLeast"/>
              <w:jc w:val="left"/>
              <w:rPr>
                <w:rFonts w:ascii="仿宋_GB2312" w:eastAsia="仿宋_GB2312" w:hAnsi="宋体" w:hint="eastAsia"/>
                <w:sz w:val="24"/>
                <w:szCs w:val="24"/>
              </w:rPr>
            </w:pPr>
            <w:r w:rsidRPr="007E6393">
              <w:rPr>
                <w:rFonts w:ascii="仿宋_GB2312" w:eastAsia="仿宋_GB2312" w:hAnsi="宋体" w:hint="eastAsia"/>
                <w:sz w:val="24"/>
                <w:szCs w:val="24"/>
              </w:rPr>
              <w:t>◆</w:t>
            </w:r>
            <w:r w:rsidRPr="007E6393">
              <w:rPr>
                <w:rFonts w:ascii="仿宋_GB2312" w:eastAsia="仿宋_GB2312" w:hAnsi="宋体" w:hint="eastAsia"/>
                <w:sz w:val="24"/>
                <w:szCs w:val="24"/>
              </w:rPr>
              <w:t>课程总体目标符合学生个人发展需要，符合应用型人才培养要求。</w:t>
            </w:r>
          </w:p>
          <w:p w:rsidR="00485BC9" w:rsidRPr="007E6393" w:rsidRDefault="00485BC9" w:rsidP="00485BC9">
            <w:pPr>
              <w:widowControl/>
              <w:spacing w:line="400" w:lineRule="atLeast"/>
              <w:jc w:val="left"/>
              <w:rPr>
                <w:rFonts w:ascii="仿宋_GB2312" w:eastAsia="仿宋_GB2312" w:hAnsiTheme="minorEastAsia" w:cs="宋体" w:hint="eastAsia"/>
                <w:kern w:val="0"/>
                <w:sz w:val="24"/>
                <w:szCs w:val="24"/>
              </w:rPr>
            </w:pPr>
            <w:r w:rsidRPr="007E6393">
              <w:rPr>
                <w:rFonts w:ascii="仿宋_GB2312" w:eastAsia="仿宋_GB2312" w:hAnsi="宋体" w:hint="eastAsia"/>
                <w:sz w:val="24"/>
                <w:szCs w:val="24"/>
              </w:rPr>
              <w:t>◆</w:t>
            </w:r>
            <w:r w:rsidRPr="007E6393">
              <w:rPr>
                <w:rFonts w:ascii="仿宋_GB2312" w:eastAsia="仿宋_GB2312" w:hAnsiTheme="minorEastAsia" w:cs="宋体" w:hint="eastAsia"/>
                <w:kern w:val="0"/>
                <w:sz w:val="24"/>
                <w:szCs w:val="24"/>
              </w:rPr>
              <w:t>能够用具体、可检验的语言准确描述本课程的能力目标，不是抽象的概念描述。</w:t>
            </w:r>
          </w:p>
        </w:tc>
        <w:tc>
          <w:tcPr>
            <w:tcW w:w="471" w:type="pct"/>
            <w:shd w:val="clear" w:color="auto" w:fill="auto"/>
            <w:tcMar>
              <w:top w:w="0" w:type="dxa"/>
              <w:left w:w="108" w:type="dxa"/>
              <w:bottom w:w="0" w:type="dxa"/>
              <w:right w:w="108" w:type="dxa"/>
            </w:tcMar>
            <w:vAlign w:val="center"/>
            <w:hideMark/>
          </w:tcPr>
          <w:p w:rsidR="00485BC9" w:rsidRPr="007E6393" w:rsidRDefault="00485BC9" w:rsidP="00A82457">
            <w:pPr>
              <w:widowControl/>
              <w:spacing w:line="400" w:lineRule="atLeast"/>
              <w:jc w:val="center"/>
              <w:rPr>
                <w:rFonts w:ascii="仿宋_GB2312" w:eastAsia="仿宋_GB2312" w:hAnsiTheme="minorEastAsia" w:cs="宋体" w:hint="eastAsia"/>
                <w:kern w:val="0"/>
                <w:sz w:val="24"/>
                <w:szCs w:val="24"/>
              </w:rPr>
            </w:pPr>
          </w:p>
        </w:tc>
      </w:tr>
      <w:tr w:rsidR="00C760C0" w:rsidRPr="007E6393" w:rsidTr="009F7D91">
        <w:trPr>
          <w:trHeight w:val="366"/>
          <w:jc w:val="center"/>
        </w:trPr>
        <w:tc>
          <w:tcPr>
            <w:tcW w:w="660" w:type="pct"/>
            <w:shd w:val="clear" w:color="auto" w:fill="auto"/>
            <w:tcMar>
              <w:top w:w="0" w:type="dxa"/>
              <w:left w:w="108" w:type="dxa"/>
              <w:bottom w:w="0" w:type="dxa"/>
              <w:right w:w="108" w:type="dxa"/>
            </w:tcMar>
            <w:vAlign w:val="center"/>
          </w:tcPr>
          <w:p w:rsidR="00C760C0" w:rsidRPr="007E6393" w:rsidRDefault="00C760C0" w:rsidP="00485BC9">
            <w:pPr>
              <w:widowControl/>
              <w:spacing w:line="400" w:lineRule="atLeast"/>
              <w:jc w:val="center"/>
              <w:rPr>
                <w:rFonts w:ascii="仿宋_GB2312" w:eastAsia="仿宋_GB2312" w:hAnsiTheme="minorEastAsia" w:cs="宋体" w:hint="eastAsia"/>
                <w:kern w:val="0"/>
                <w:sz w:val="24"/>
                <w:szCs w:val="24"/>
              </w:rPr>
            </w:pPr>
            <w:r w:rsidRPr="007E6393">
              <w:rPr>
                <w:rFonts w:ascii="仿宋_GB2312" w:eastAsia="仿宋_GB2312" w:hAnsiTheme="minorEastAsia" w:cs="宋体" w:hint="eastAsia"/>
                <w:kern w:val="0"/>
                <w:sz w:val="24"/>
                <w:szCs w:val="24"/>
              </w:rPr>
              <w:t>课程内容（20分）</w:t>
            </w:r>
          </w:p>
        </w:tc>
        <w:tc>
          <w:tcPr>
            <w:tcW w:w="3869" w:type="pct"/>
            <w:shd w:val="clear" w:color="auto" w:fill="auto"/>
            <w:tcMar>
              <w:top w:w="0" w:type="dxa"/>
              <w:left w:w="108" w:type="dxa"/>
              <w:bottom w:w="0" w:type="dxa"/>
              <w:right w:w="108" w:type="dxa"/>
            </w:tcMar>
            <w:vAlign w:val="center"/>
          </w:tcPr>
          <w:p w:rsidR="00C760C0" w:rsidRPr="007E6393" w:rsidRDefault="00C760C0" w:rsidP="00485BC9">
            <w:pPr>
              <w:widowControl/>
              <w:spacing w:line="400" w:lineRule="atLeast"/>
              <w:jc w:val="left"/>
              <w:rPr>
                <w:rFonts w:ascii="仿宋_GB2312" w:eastAsia="仿宋_GB2312" w:hAnsi="宋体" w:hint="eastAsia"/>
                <w:sz w:val="24"/>
                <w:szCs w:val="24"/>
              </w:rPr>
            </w:pPr>
            <w:r w:rsidRPr="007E6393">
              <w:rPr>
                <w:rFonts w:ascii="仿宋_GB2312" w:eastAsia="仿宋_GB2312" w:hAnsi="宋体" w:hint="eastAsia"/>
                <w:sz w:val="24"/>
                <w:szCs w:val="24"/>
              </w:rPr>
              <w:t>◆</w:t>
            </w:r>
            <w:r w:rsidRPr="007E6393">
              <w:rPr>
                <w:rFonts w:ascii="仿宋_GB2312" w:eastAsia="仿宋_GB2312" w:hAnsi="宋体" w:hint="eastAsia"/>
                <w:sz w:val="24"/>
                <w:szCs w:val="24"/>
              </w:rPr>
              <w:t>清晰解说本课程的内容体系、框架结构和逻辑关系。</w:t>
            </w:r>
          </w:p>
          <w:p w:rsidR="00C760C0" w:rsidRPr="007E6393" w:rsidRDefault="00C760C0" w:rsidP="00485BC9">
            <w:pPr>
              <w:widowControl/>
              <w:spacing w:line="400" w:lineRule="atLeast"/>
              <w:jc w:val="left"/>
              <w:rPr>
                <w:rFonts w:ascii="仿宋_GB2312" w:eastAsia="仿宋_GB2312" w:hAnsi="宋体" w:hint="eastAsia"/>
                <w:sz w:val="24"/>
                <w:szCs w:val="24"/>
              </w:rPr>
            </w:pPr>
            <w:r w:rsidRPr="007E6393">
              <w:rPr>
                <w:rFonts w:ascii="仿宋_GB2312" w:eastAsia="仿宋_GB2312" w:hAnsi="宋体" w:hint="eastAsia"/>
                <w:sz w:val="24"/>
                <w:szCs w:val="24"/>
              </w:rPr>
              <w:t>◆</w:t>
            </w:r>
            <w:r w:rsidRPr="007E6393">
              <w:rPr>
                <w:rFonts w:ascii="仿宋_GB2312" w:eastAsia="仿宋_GB2312" w:hAnsi="宋体" w:hint="eastAsia"/>
                <w:sz w:val="24"/>
                <w:szCs w:val="24"/>
              </w:rPr>
              <w:t>知识点明确，有助于课程目标的达成。</w:t>
            </w:r>
          </w:p>
          <w:p w:rsidR="00C760C0" w:rsidRPr="007E6393" w:rsidRDefault="00C760C0" w:rsidP="00C760C0">
            <w:pPr>
              <w:widowControl/>
              <w:spacing w:line="400" w:lineRule="atLeast"/>
              <w:jc w:val="left"/>
              <w:rPr>
                <w:rFonts w:ascii="仿宋_GB2312" w:eastAsia="仿宋_GB2312" w:hAnsi="宋体" w:hint="eastAsia"/>
                <w:sz w:val="24"/>
                <w:szCs w:val="24"/>
              </w:rPr>
            </w:pPr>
            <w:r w:rsidRPr="007E6393">
              <w:rPr>
                <w:rFonts w:ascii="仿宋_GB2312" w:eastAsia="仿宋_GB2312" w:hAnsi="宋体" w:hint="eastAsia"/>
                <w:sz w:val="24"/>
                <w:szCs w:val="24"/>
              </w:rPr>
              <w:t>◆</w:t>
            </w:r>
            <w:r w:rsidRPr="007E6393">
              <w:rPr>
                <w:rFonts w:ascii="仿宋_GB2312" w:eastAsia="仿宋_GB2312" w:hAnsi="宋体" w:hint="eastAsia"/>
                <w:sz w:val="24"/>
                <w:szCs w:val="24"/>
              </w:rPr>
              <w:t>教学重点、难点确定准确，分析透彻，依据充分。</w:t>
            </w:r>
          </w:p>
        </w:tc>
        <w:tc>
          <w:tcPr>
            <w:tcW w:w="471" w:type="pct"/>
            <w:shd w:val="clear" w:color="auto" w:fill="auto"/>
            <w:tcMar>
              <w:top w:w="0" w:type="dxa"/>
              <w:left w:w="108" w:type="dxa"/>
              <w:bottom w:w="0" w:type="dxa"/>
              <w:right w:w="108" w:type="dxa"/>
            </w:tcMar>
            <w:vAlign w:val="center"/>
          </w:tcPr>
          <w:p w:rsidR="00C760C0" w:rsidRPr="007E6393" w:rsidRDefault="00C760C0" w:rsidP="00A82457">
            <w:pPr>
              <w:widowControl/>
              <w:spacing w:line="400" w:lineRule="atLeast"/>
              <w:jc w:val="center"/>
              <w:rPr>
                <w:rFonts w:ascii="仿宋_GB2312" w:eastAsia="仿宋_GB2312" w:hAnsiTheme="minorEastAsia" w:cs="宋体" w:hint="eastAsia"/>
                <w:kern w:val="0"/>
                <w:sz w:val="24"/>
                <w:szCs w:val="24"/>
              </w:rPr>
            </w:pPr>
          </w:p>
        </w:tc>
      </w:tr>
      <w:tr w:rsidR="00485BC9" w:rsidRPr="007E6393" w:rsidTr="009F7D91">
        <w:trPr>
          <w:trHeight w:val="713"/>
          <w:jc w:val="center"/>
        </w:trPr>
        <w:tc>
          <w:tcPr>
            <w:tcW w:w="660" w:type="pct"/>
            <w:shd w:val="clear" w:color="auto" w:fill="auto"/>
            <w:tcMar>
              <w:top w:w="0" w:type="dxa"/>
              <w:left w:w="108" w:type="dxa"/>
              <w:bottom w:w="0" w:type="dxa"/>
              <w:right w:w="108" w:type="dxa"/>
            </w:tcMar>
            <w:vAlign w:val="center"/>
            <w:hideMark/>
          </w:tcPr>
          <w:p w:rsidR="00485BC9" w:rsidRPr="007E6393" w:rsidRDefault="00C760C0" w:rsidP="00A82457">
            <w:pPr>
              <w:widowControl/>
              <w:spacing w:line="400" w:lineRule="atLeast"/>
              <w:jc w:val="center"/>
              <w:rPr>
                <w:rFonts w:ascii="仿宋_GB2312" w:eastAsia="仿宋_GB2312" w:hAnsiTheme="minorEastAsia" w:cs="宋体" w:hint="eastAsia"/>
                <w:kern w:val="0"/>
                <w:sz w:val="24"/>
                <w:szCs w:val="24"/>
              </w:rPr>
            </w:pPr>
            <w:r w:rsidRPr="007E6393">
              <w:rPr>
                <w:rFonts w:ascii="仿宋_GB2312" w:eastAsia="仿宋_GB2312" w:hAnsiTheme="minorEastAsia" w:cs="宋体" w:hint="eastAsia"/>
                <w:kern w:val="0"/>
                <w:sz w:val="24"/>
                <w:szCs w:val="24"/>
              </w:rPr>
              <w:t>教学设计</w:t>
            </w:r>
          </w:p>
          <w:p w:rsidR="00485BC9" w:rsidRPr="007E6393" w:rsidRDefault="00C760C0" w:rsidP="007E6393">
            <w:pPr>
              <w:widowControl/>
              <w:spacing w:line="400" w:lineRule="atLeast"/>
              <w:jc w:val="center"/>
              <w:rPr>
                <w:rFonts w:ascii="仿宋_GB2312" w:eastAsia="仿宋_GB2312" w:hAnsiTheme="minorEastAsia" w:cs="宋体" w:hint="eastAsia"/>
                <w:kern w:val="0"/>
                <w:sz w:val="24"/>
                <w:szCs w:val="24"/>
              </w:rPr>
            </w:pPr>
            <w:r w:rsidRPr="007E6393">
              <w:rPr>
                <w:rFonts w:ascii="仿宋_GB2312" w:eastAsia="仿宋_GB2312" w:hAnsiTheme="minorEastAsia" w:cs="宋体" w:hint="eastAsia"/>
                <w:kern w:val="0"/>
                <w:sz w:val="24"/>
                <w:szCs w:val="24"/>
              </w:rPr>
              <w:t>（</w:t>
            </w:r>
            <w:r w:rsidR="007E6393" w:rsidRPr="007E6393">
              <w:rPr>
                <w:rFonts w:ascii="仿宋_GB2312" w:eastAsia="仿宋_GB2312" w:hAnsiTheme="minorEastAsia" w:cs="宋体" w:hint="eastAsia"/>
                <w:kern w:val="0"/>
                <w:sz w:val="24"/>
                <w:szCs w:val="24"/>
              </w:rPr>
              <w:t>50</w:t>
            </w:r>
            <w:r w:rsidRPr="007E6393">
              <w:rPr>
                <w:rFonts w:ascii="仿宋_GB2312" w:eastAsia="仿宋_GB2312" w:hAnsiTheme="minorEastAsia" w:cs="宋体" w:hint="eastAsia"/>
                <w:kern w:val="0"/>
                <w:sz w:val="24"/>
                <w:szCs w:val="24"/>
              </w:rPr>
              <w:t>分）</w:t>
            </w:r>
          </w:p>
        </w:tc>
        <w:tc>
          <w:tcPr>
            <w:tcW w:w="3869" w:type="pct"/>
            <w:shd w:val="clear" w:color="auto" w:fill="auto"/>
            <w:tcMar>
              <w:top w:w="0" w:type="dxa"/>
              <w:left w:w="108" w:type="dxa"/>
              <w:bottom w:w="0" w:type="dxa"/>
              <w:right w:w="108" w:type="dxa"/>
            </w:tcMar>
            <w:vAlign w:val="center"/>
            <w:hideMark/>
          </w:tcPr>
          <w:p w:rsidR="00C760C0" w:rsidRPr="007E6393" w:rsidRDefault="009F7D91" w:rsidP="00A82457">
            <w:pPr>
              <w:widowControl/>
              <w:spacing w:line="400" w:lineRule="atLeast"/>
              <w:jc w:val="left"/>
              <w:rPr>
                <w:rFonts w:ascii="仿宋_GB2312" w:eastAsia="仿宋_GB2312" w:hAnsi="宋体" w:hint="eastAsia"/>
                <w:sz w:val="24"/>
                <w:szCs w:val="24"/>
              </w:rPr>
            </w:pPr>
            <w:r w:rsidRPr="007E6393">
              <w:rPr>
                <w:rFonts w:ascii="仿宋_GB2312" w:eastAsia="仿宋_GB2312" w:hAnsi="宋体" w:hint="eastAsia"/>
                <w:sz w:val="24"/>
                <w:szCs w:val="24"/>
              </w:rPr>
              <w:t>◆</w:t>
            </w:r>
            <w:r w:rsidR="00C760C0" w:rsidRPr="007E6393">
              <w:rPr>
                <w:rFonts w:ascii="仿宋_GB2312" w:eastAsia="仿宋_GB2312" w:hAnsi="宋体" w:hint="eastAsia"/>
                <w:sz w:val="24"/>
                <w:szCs w:val="24"/>
              </w:rPr>
              <w:t>课程设计理念新，指导思想明确，符合应用型人才培养教育理念。</w:t>
            </w:r>
          </w:p>
          <w:p w:rsidR="00C760C0" w:rsidRPr="007E6393" w:rsidRDefault="00C760C0" w:rsidP="00A82457">
            <w:pPr>
              <w:widowControl/>
              <w:spacing w:line="400" w:lineRule="atLeast"/>
              <w:jc w:val="left"/>
              <w:rPr>
                <w:rFonts w:ascii="仿宋_GB2312" w:eastAsia="仿宋_GB2312" w:hAnsi="宋体" w:hint="eastAsia"/>
                <w:sz w:val="24"/>
                <w:szCs w:val="24"/>
              </w:rPr>
            </w:pPr>
            <w:r w:rsidRPr="007E6393">
              <w:rPr>
                <w:rFonts w:ascii="仿宋_GB2312" w:eastAsia="仿宋_GB2312" w:hAnsi="宋体" w:hint="eastAsia"/>
                <w:sz w:val="24"/>
                <w:szCs w:val="24"/>
              </w:rPr>
              <w:t>◆</w:t>
            </w:r>
            <w:r w:rsidRPr="007E6393">
              <w:rPr>
                <w:rFonts w:ascii="仿宋_GB2312" w:eastAsia="仿宋_GB2312" w:hAnsi="宋体" w:hint="eastAsia"/>
                <w:sz w:val="24"/>
                <w:szCs w:val="24"/>
              </w:rPr>
              <w:t>学时分配合理，理论教学与实践教学安排适当。</w:t>
            </w:r>
          </w:p>
          <w:p w:rsidR="00C760C0" w:rsidRPr="007E6393" w:rsidRDefault="00C760C0" w:rsidP="00A82457">
            <w:pPr>
              <w:widowControl/>
              <w:spacing w:line="400" w:lineRule="atLeast"/>
              <w:jc w:val="left"/>
              <w:rPr>
                <w:rFonts w:ascii="仿宋_GB2312" w:eastAsia="仿宋_GB2312" w:hAnsi="宋体" w:hint="eastAsia"/>
                <w:sz w:val="24"/>
                <w:szCs w:val="24"/>
              </w:rPr>
            </w:pPr>
            <w:r w:rsidRPr="007E6393">
              <w:rPr>
                <w:rFonts w:ascii="仿宋_GB2312" w:eastAsia="仿宋_GB2312" w:hAnsi="宋体" w:hint="eastAsia"/>
                <w:sz w:val="24"/>
                <w:szCs w:val="24"/>
              </w:rPr>
              <w:t>◆</w:t>
            </w:r>
            <w:r w:rsidRPr="007E6393">
              <w:rPr>
                <w:rFonts w:ascii="仿宋_GB2312" w:eastAsia="仿宋_GB2312" w:hAnsi="宋体" w:hint="eastAsia"/>
                <w:sz w:val="24"/>
                <w:szCs w:val="24"/>
              </w:rPr>
              <w:t>内容组织安排遵循学生能力培养的基本规律。</w:t>
            </w:r>
          </w:p>
          <w:p w:rsidR="00C760C0" w:rsidRPr="007E6393" w:rsidRDefault="00C760C0" w:rsidP="00A82457">
            <w:pPr>
              <w:widowControl/>
              <w:spacing w:line="400" w:lineRule="atLeast"/>
              <w:jc w:val="left"/>
              <w:rPr>
                <w:rFonts w:ascii="仿宋_GB2312" w:eastAsia="仿宋_GB2312" w:hAnsi="宋体" w:hint="eastAsia"/>
                <w:sz w:val="24"/>
                <w:szCs w:val="24"/>
              </w:rPr>
            </w:pPr>
            <w:r w:rsidRPr="007E6393">
              <w:rPr>
                <w:rFonts w:ascii="仿宋_GB2312" w:eastAsia="仿宋_GB2312" w:hAnsi="宋体" w:hint="eastAsia"/>
                <w:sz w:val="24"/>
                <w:szCs w:val="24"/>
              </w:rPr>
              <w:t>◆</w:t>
            </w:r>
            <w:r w:rsidRPr="007E6393">
              <w:rPr>
                <w:rFonts w:ascii="仿宋_GB2312" w:eastAsia="仿宋_GB2312" w:hAnsi="宋体" w:hint="eastAsia"/>
                <w:sz w:val="24"/>
                <w:szCs w:val="24"/>
              </w:rPr>
              <w:t>教学内容充实恰当，重点、难点突出，理论密切联系实践，有利于学生的创新精神培养。</w:t>
            </w:r>
          </w:p>
          <w:p w:rsidR="006E6586" w:rsidRPr="007E6393" w:rsidRDefault="00C760C0" w:rsidP="00A82457">
            <w:pPr>
              <w:widowControl/>
              <w:spacing w:line="400" w:lineRule="atLeast"/>
              <w:jc w:val="left"/>
              <w:rPr>
                <w:rFonts w:ascii="仿宋_GB2312" w:eastAsia="仿宋_GB2312" w:hAnsi="宋体" w:hint="eastAsia"/>
                <w:sz w:val="24"/>
                <w:szCs w:val="24"/>
              </w:rPr>
            </w:pPr>
            <w:r w:rsidRPr="007E6393">
              <w:rPr>
                <w:rFonts w:ascii="仿宋_GB2312" w:eastAsia="仿宋_GB2312" w:hAnsi="宋体" w:hint="eastAsia"/>
                <w:sz w:val="24"/>
                <w:szCs w:val="24"/>
              </w:rPr>
              <w:t>◆</w:t>
            </w:r>
            <w:r w:rsidRPr="007E6393">
              <w:rPr>
                <w:rFonts w:ascii="仿宋_GB2312" w:eastAsia="仿宋_GB2312" w:hAnsi="宋体" w:hint="eastAsia"/>
                <w:sz w:val="24"/>
                <w:szCs w:val="24"/>
              </w:rPr>
              <w:t>合理开发利用</w:t>
            </w:r>
            <w:r w:rsidR="006E6586" w:rsidRPr="007E6393">
              <w:rPr>
                <w:rFonts w:ascii="仿宋_GB2312" w:eastAsia="仿宋_GB2312" w:hAnsi="宋体" w:hint="eastAsia"/>
                <w:sz w:val="24"/>
                <w:szCs w:val="24"/>
              </w:rPr>
              <w:t>课程资源；教学内容和环节设计合理。</w:t>
            </w:r>
          </w:p>
          <w:p w:rsidR="006E6586" w:rsidRPr="007E6393" w:rsidRDefault="006E6586" w:rsidP="00A82457">
            <w:pPr>
              <w:widowControl/>
              <w:spacing w:line="400" w:lineRule="atLeast"/>
              <w:jc w:val="left"/>
              <w:rPr>
                <w:rFonts w:ascii="仿宋_GB2312" w:eastAsia="仿宋_GB2312" w:hAnsi="宋体" w:hint="eastAsia"/>
                <w:sz w:val="24"/>
                <w:szCs w:val="24"/>
              </w:rPr>
            </w:pPr>
            <w:r w:rsidRPr="007E6393">
              <w:rPr>
                <w:rFonts w:ascii="仿宋_GB2312" w:eastAsia="仿宋_GB2312" w:hAnsi="宋体" w:hint="eastAsia"/>
                <w:sz w:val="24"/>
                <w:szCs w:val="24"/>
              </w:rPr>
              <w:t>◆</w:t>
            </w:r>
            <w:r w:rsidRPr="007E6393">
              <w:rPr>
                <w:rFonts w:ascii="仿宋_GB2312" w:eastAsia="仿宋_GB2312" w:hAnsi="宋体" w:hint="eastAsia"/>
                <w:sz w:val="24"/>
                <w:szCs w:val="24"/>
              </w:rPr>
              <w:t>科学、灵活、多样、有效、有启发性地运用多种教学方法，积极合理地运用现代教育技术手段辅助教学，</w:t>
            </w:r>
            <w:r w:rsidRPr="007E6393">
              <w:rPr>
                <w:rFonts w:ascii="仿宋_GB2312" w:eastAsia="仿宋_GB2312" w:hAnsiTheme="minorEastAsia" w:cs="宋体" w:hint="eastAsia"/>
                <w:kern w:val="0"/>
                <w:sz w:val="24"/>
                <w:szCs w:val="24"/>
              </w:rPr>
              <w:t>利于激发学生主动学习。</w:t>
            </w:r>
          </w:p>
          <w:p w:rsidR="00485BC9" w:rsidRPr="007E6393" w:rsidRDefault="006E6586" w:rsidP="00A82457">
            <w:pPr>
              <w:widowControl/>
              <w:spacing w:line="400" w:lineRule="atLeast"/>
              <w:jc w:val="left"/>
              <w:rPr>
                <w:rFonts w:ascii="仿宋_GB2312" w:eastAsia="仿宋_GB2312" w:hAnsi="宋体" w:hint="eastAsia"/>
                <w:sz w:val="24"/>
                <w:szCs w:val="24"/>
              </w:rPr>
            </w:pPr>
            <w:r w:rsidRPr="007E6393">
              <w:rPr>
                <w:rFonts w:ascii="仿宋_GB2312" w:eastAsia="仿宋_GB2312" w:hAnsi="宋体" w:hint="eastAsia"/>
                <w:sz w:val="24"/>
                <w:szCs w:val="24"/>
              </w:rPr>
              <w:t>◆</w:t>
            </w:r>
            <w:r w:rsidRPr="007E6393">
              <w:rPr>
                <w:rFonts w:ascii="仿宋_GB2312" w:eastAsia="仿宋_GB2312" w:hAnsi="宋体" w:hint="eastAsia"/>
                <w:sz w:val="24"/>
                <w:szCs w:val="24"/>
              </w:rPr>
              <w:t>评价考核方式合理，符合教学大纲要求，过程考核与阶段性考核相结合，积极探索课程考核新模式。</w:t>
            </w:r>
          </w:p>
        </w:tc>
        <w:tc>
          <w:tcPr>
            <w:tcW w:w="471" w:type="pct"/>
            <w:shd w:val="clear" w:color="auto" w:fill="auto"/>
            <w:tcMar>
              <w:top w:w="0" w:type="dxa"/>
              <w:left w:w="108" w:type="dxa"/>
              <w:bottom w:w="0" w:type="dxa"/>
              <w:right w:w="108" w:type="dxa"/>
            </w:tcMar>
            <w:vAlign w:val="center"/>
            <w:hideMark/>
          </w:tcPr>
          <w:p w:rsidR="00485BC9" w:rsidRPr="007E6393" w:rsidRDefault="00485BC9" w:rsidP="00A82457">
            <w:pPr>
              <w:widowControl/>
              <w:spacing w:line="400" w:lineRule="atLeast"/>
              <w:jc w:val="center"/>
              <w:rPr>
                <w:rFonts w:ascii="仿宋_GB2312" w:eastAsia="仿宋_GB2312" w:hAnsiTheme="minorEastAsia" w:cs="宋体" w:hint="eastAsia"/>
                <w:kern w:val="0"/>
                <w:sz w:val="24"/>
                <w:szCs w:val="24"/>
              </w:rPr>
            </w:pPr>
          </w:p>
        </w:tc>
      </w:tr>
      <w:tr w:rsidR="00485BC9" w:rsidRPr="007E6393" w:rsidTr="006E6586">
        <w:trPr>
          <w:trHeight w:val="730"/>
          <w:jc w:val="center"/>
        </w:trPr>
        <w:tc>
          <w:tcPr>
            <w:tcW w:w="660" w:type="pct"/>
            <w:shd w:val="clear" w:color="auto" w:fill="auto"/>
            <w:tcMar>
              <w:top w:w="0" w:type="dxa"/>
              <w:left w:w="108" w:type="dxa"/>
              <w:bottom w:w="0" w:type="dxa"/>
              <w:right w:w="108" w:type="dxa"/>
            </w:tcMar>
            <w:vAlign w:val="center"/>
            <w:hideMark/>
          </w:tcPr>
          <w:p w:rsidR="00485BC9" w:rsidRPr="007E6393" w:rsidRDefault="00485BC9" w:rsidP="00A82457">
            <w:pPr>
              <w:widowControl/>
              <w:spacing w:line="400" w:lineRule="atLeast"/>
              <w:jc w:val="center"/>
              <w:rPr>
                <w:rFonts w:ascii="仿宋_GB2312" w:eastAsia="仿宋_GB2312" w:hAnsiTheme="minorEastAsia" w:cs="宋体" w:hint="eastAsia"/>
                <w:kern w:val="0"/>
                <w:sz w:val="24"/>
                <w:szCs w:val="24"/>
              </w:rPr>
            </w:pPr>
            <w:r w:rsidRPr="007E6393">
              <w:rPr>
                <w:rFonts w:ascii="仿宋_GB2312" w:eastAsia="仿宋_GB2312" w:hAnsiTheme="minorEastAsia" w:cs="宋体" w:hint="eastAsia"/>
                <w:kern w:val="0"/>
                <w:sz w:val="24"/>
                <w:szCs w:val="24"/>
              </w:rPr>
              <w:t>特色与创新</w:t>
            </w:r>
          </w:p>
          <w:p w:rsidR="006E6586" w:rsidRPr="007E6393" w:rsidRDefault="006E6586" w:rsidP="00A82457">
            <w:pPr>
              <w:widowControl/>
              <w:spacing w:line="400" w:lineRule="atLeast"/>
              <w:jc w:val="center"/>
              <w:rPr>
                <w:rFonts w:ascii="仿宋_GB2312" w:eastAsia="仿宋_GB2312" w:hAnsiTheme="minorEastAsia" w:cs="宋体" w:hint="eastAsia"/>
                <w:kern w:val="0"/>
                <w:sz w:val="24"/>
                <w:szCs w:val="24"/>
              </w:rPr>
            </w:pPr>
            <w:r w:rsidRPr="007E6393">
              <w:rPr>
                <w:rFonts w:ascii="仿宋_GB2312" w:eastAsia="仿宋_GB2312" w:hAnsiTheme="minorEastAsia" w:cs="宋体" w:hint="eastAsia"/>
                <w:kern w:val="0"/>
                <w:sz w:val="24"/>
                <w:szCs w:val="24"/>
              </w:rPr>
              <w:t>（5分）</w:t>
            </w:r>
          </w:p>
        </w:tc>
        <w:tc>
          <w:tcPr>
            <w:tcW w:w="3869" w:type="pct"/>
            <w:shd w:val="clear" w:color="auto" w:fill="auto"/>
            <w:tcMar>
              <w:top w:w="0" w:type="dxa"/>
              <w:left w:w="108" w:type="dxa"/>
              <w:bottom w:w="0" w:type="dxa"/>
              <w:right w:w="108" w:type="dxa"/>
            </w:tcMar>
            <w:vAlign w:val="center"/>
            <w:hideMark/>
          </w:tcPr>
          <w:p w:rsidR="00485BC9" w:rsidRPr="007E6393" w:rsidRDefault="007E6393" w:rsidP="00A82457">
            <w:pPr>
              <w:widowControl/>
              <w:spacing w:line="400" w:lineRule="atLeast"/>
              <w:jc w:val="left"/>
              <w:rPr>
                <w:rFonts w:ascii="仿宋_GB2312" w:eastAsia="仿宋_GB2312" w:hAnsiTheme="minorEastAsia" w:cs="宋体" w:hint="eastAsia"/>
                <w:kern w:val="0"/>
                <w:sz w:val="24"/>
                <w:szCs w:val="24"/>
              </w:rPr>
            </w:pPr>
            <w:r w:rsidRPr="007E6393">
              <w:rPr>
                <w:rFonts w:ascii="仿宋_GB2312" w:eastAsia="仿宋_GB2312" w:hAnsi="宋体" w:hint="eastAsia"/>
                <w:sz w:val="24"/>
                <w:szCs w:val="24"/>
              </w:rPr>
              <w:t>◆</w:t>
            </w:r>
            <w:r w:rsidR="00485BC9" w:rsidRPr="007E6393">
              <w:rPr>
                <w:rFonts w:ascii="仿宋_GB2312" w:eastAsia="仿宋_GB2312" w:hAnsiTheme="minorEastAsia" w:cs="宋体" w:hint="eastAsia"/>
                <w:kern w:val="0"/>
                <w:sz w:val="24"/>
                <w:szCs w:val="24"/>
              </w:rPr>
              <w:t>阐述在课程建设和课程教学中的突破及独创性成果及其对同类课程建设具有积极引导意义和实际借鉴作用。</w:t>
            </w:r>
          </w:p>
        </w:tc>
        <w:tc>
          <w:tcPr>
            <w:tcW w:w="471" w:type="pct"/>
            <w:shd w:val="clear" w:color="auto" w:fill="auto"/>
            <w:tcMar>
              <w:top w:w="0" w:type="dxa"/>
              <w:left w:w="108" w:type="dxa"/>
              <w:bottom w:w="0" w:type="dxa"/>
              <w:right w:w="108" w:type="dxa"/>
            </w:tcMar>
            <w:vAlign w:val="center"/>
          </w:tcPr>
          <w:p w:rsidR="00485BC9" w:rsidRPr="007E6393" w:rsidRDefault="00485BC9" w:rsidP="00A82457">
            <w:pPr>
              <w:widowControl/>
              <w:spacing w:line="400" w:lineRule="atLeast"/>
              <w:jc w:val="center"/>
              <w:rPr>
                <w:rFonts w:ascii="仿宋_GB2312" w:eastAsia="仿宋_GB2312" w:hAnsiTheme="minorEastAsia" w:cs="宋体" w:hint="eastAsia"/>
                <w:kern w:val="0"/>
                <w:sz w:val="24"/>
                <w:szCs w:val="24"/>
              </w:rPr>
            </w:pPr>
          </w:p>
        </w:tc>
      </w:tr>
      <w:tr w:rsidR="00485BC9" w:rsidRPr="007E6393" w:rsidTr="006E6586">
        <w:trPr>
          <w:trHeight w:val="778"/>
          <w:jc w:val="center"/>
        </w:trPr>
        <w:tc>
          <w:tcPr>
            <w:tcW w:w="660" w:type="pct"/>
            <w:shd w:val="clear" w:color="auto" w:fill="auto"/>
            <w:tcMar>
              <w:top w:w="0" w:type="dxa"/>
              <w:left w:w="108" w:type="dxa"/>
              <w:bottom w:w="0" w:type="dxa"/>
              <w:right w:w="108" w:type="dxa"/>
            </w:tcMar>
            <w:vAlign w:val="center"/>
            <w:hideMark/>
          </w:tcPr>
          <w:p w:rsidR="007E6393" w:rsidRPr="007E6393" w:rsidRDefault="007E6393" w:rsidP="00A82457">
            <w:pPr>
              <w:widowControl/>
              <w:spacing w:line="400" w:lineRule="atLeast"/>
              <w:jc w:val="center"/>
              <w:rPr>
                <w:rFonts w:ascii="仿宋_GB2312" w:eastAsia="仿宋_GB2312" w:hAnsiTheme="minorEastAsia" w:cs="宋体" w:hint="eastAsia"/>
                <w:kern w:val="0"/>
                <w:sz w:val="24"/>
                <w:szCs w:val="24"/>
              </w:rPr>
            </w:pPr>
            <w:r w:rsidRPr="007E6393">
              <w:rPr>
                <w:rFonts w:ascii="仿宋_GB2312" w:eastAsia="仿宋_GB2312" w:hAnsiTheme="minorEastAsia" w:cs="宋体" w:hint="eastAsia"/>
                <w:kern w:val="0"/>
                <w:sz w:val="24"/>
                <w:szCs w:val="24"/>
              </w:rPr>
              <w:t>教师素养</w:t>
            </w:r>
          </w:p>
          <w:p w:rsidR="00485BC9" w:rsidRPr="007E6393" w:rsidRDefault="007E6393" w:rsidP="00A82457">
            <w:pPr>
              <w:widowControl/>
              <w:spacing w:line="400" w:lineRule="atLeast"/>
              <w:jc w:val="center"/>
              <w:rPr>
                <w:rFonts w:ascii="仿宋_GB2312" w:eastAsia="仿宋_GB2312" w:hAnsiTheme="minorEastAsia" w:cs="宋体" w:hint="eastAsia"/>
                <w:kern w:val="0"/>
                <w:sz w:val="24"/>
                <w:szCs w:val="24"/>
              </w:rPr>
            </w:pPr>
            <w:r w:rsidRPr="007E6393">
              <w:rPr>
                <w:rFonts w:ascii="仿宋_GB2312" w:eastAsia="仿宋_GB2312" w:hAnsiTheme="minorEastAsia" w:cs="宋体" w:hint="eastAsia"/>
                <w:kern w:val="0"/>
                <w:sz w:val="24"/>
                <w:szCs w:val="24"/>
              </w:rPr>
              <w:t>（</w:t>
            </w:r>
            <w:bookmarkStart w:id="0" w:name="_GoBack"/>
            <w:bookmarkEnd w:id="0"/>
            <w:r w:rsidRPr="007E6393">
              <w:rPr>
                <w:rFonts w:ascii="仿宋_GB2312" w:eastAsia="仿宋_GB2312" w:hAnsiTheme="minorEastAsia" w:cs="宋体" w:hint="eastAsia"/>
                <w:kern w:val="0"/>
                <w:sz w:val="24"/>
                <w:szCs w:val="24"/>
              </w:rPr>
              <w:t>5分）</w:t>
            </w:r>
          </w:p>
        </w:tc>
        <w:tc>
          <w:tcPr>
            <w:tcW w:w="3869" w:type="pct"/>
            <w:shd w:val="clear" w:color="auto" w:fill="auto"/>
            <w:tcMar>
              <w:top w:w="0" w:type="dxa"/>
              <w:left w:w="108" w:type="dxa"/>
              <w:bottom w:w="0" w:type="dxa"/>
              <w:right w:w="108" w:type="dxa"/>
            </w:tcMar>
            <w:vAlign w:val="center"/>
            <w:hideMark/>
          </w:tcPr>
          <w:p w:rsidR="00485BC9" w:rsidRPr="007E6393" w:rsidRDefault="007E6393" w:rsidP="00A82457">
            <w:pPr>
              <w:widowControl/>
              <w:spacing w:line="400" w:lineRule="atLeast"/>
              <w:jc w:val="left"/>
              <w:rPr>
                <w:rFonts w:ascii="仿宋_GB2312" w:eastAsia="仿宋_GB2312" w:hAnsiTheme="minorEastAsia" w:cs="宋体" w:hint="eastAsia"/>
                <w:kern w:val="0"/>
                <w:sz w:val="24"/>
                <w:szCs w:val="24"/>
              </w:rPr>
            </w:pPr>
            <w:r w:rsidRPr="007E6393">
              <w:rPr>
                <w:rFonts w:ascii="仿宋_GB2312" w:eastAsia="仿宋_GB2312" w:hAnsi="宋体" w:hint="eastAsia"/>
                <w:sz w:val="24"/>
                <w:szCs w:val="24"/>
              </w:rPr>
              <w:t>◆</w:t>
            </w:r>
            <w:proofErr w:type="gramStart"/>
            <w:r w:rsidR="00485BC9" w:rsidRPr="007E6393">
              <w:rPr>
                <w:rFonts w:ascii="仿宋_GB2312" w:eastAsia="仿宋_GB2312" w:hAnsiTheme="minorEastAsia" w:cs="宋体" w:hint="eastAsia"/>
                <w:kern w:val="0"/>
                <w:sz w:val="24"/>
                <w:szCs w:val="24"/>
              </w:rPr>
              <w:t>教师教态自然</w:t>
            </w:r>
            <w:proofErr w:type="gramEnd"/>
            <w:r w:rsidR="00485BC9" w:rsidRPr="007E6393">
              <w:rPr>
                <w:rFonts w:ascii="仿宋_GB2312" w:eastAsia="仿宋_GB2312" w:hAnsiTheme="minorEastAsia" w:cs="宋体" w:hint="eastAsia"/>
                <w:kern w:val="0"/>
                <w:sz w:val="24"/>
                <w:szCs w:val="24"/>
              </w:rPr>
              <w:t>，仪表端庄大方，普通话标准、流利、表达准确；教案、课件制作科学合理（板书设计合理，字体工整）。</w:t>
            </w:r>
          </w:p>
        </w:tc>
        <w:tc>
          <w:tcPr>
            <w:tcW w:w="471" w:type="pct"/>
            <w:shd w:val="clear" w:color="auto" w:fill="auto"/>
            <w:tcMar>
              <w:top w:w="0" w:type="dxa"/>
              <w:left w:w="108" w:type="dxa"/>
              <w:bottom w:w="0" w:type="dxa"/>
              <w:right w:w="108" w:type="dxa"/>
            </w:tcMar>
            <w:vAlign w:val="center"/>
          </w:tcPr>
          <w:p w:rsidR="00485BC9" w:rsidRPr="007E6393" w:rsidRDefault="00485BC9" w:rsidP="00A82457">
            <w:pPr>
              <w:widowControl/>
              <w:spacing w:line="400" w:lineRule="atLeast"/>
              <w:jc w:val="center"/>
              <w:rPr>
                <w:rFonts w:ascii="仿宋_GB2312" w:eastAsia="仿宋_GB2312" w:hAnsiTheme="minorEastAsia" w:cs="宋体" w:hint="eastAsia"/>
                <w:kern w:val="0"/>
                <w:sz w:val="24"/>
                <w:szCs w:val="24"/>
              </w:rPr>
            </w:pPr>
          </w:p>
        </w:tc>
      </w:tr>
      <w:tr w:rsidR="007E6393" w:rsidRPr="007E6393" w:rsidTr="007E6393">
        <w:trPr>
          <w:trHeight w:val="778"/>
          <w:jc w:val="center"/>
        </w:trPr>
        <w:tc>
          <w:tcPr>
            <w:tcW w:w="660" w:type="pct"/>
            <w:shd w:val="clear" w:color="auto" w:fill="auto"/>
            <w:tcMar>
              <w:top w:w="0" w:type="dxa"/>
              <w:left w:w="108" w:type="dxa"/>
              <w:bottom w:w="0" w:type="dxa"/>
              <w:right w:w="108" w:type="dxa"/>
            </w:tcMar>
            <w:vAlign w:val="center"/>
          </w:tcPr>
          <w:p w:rsidR="007E6393" w:rsidRPr="007E6393" w:rsidRDefault="007E6393" w:rsidP="00A82457">
            <w:pPr>
              <w:widowControl/>
              <w:spacing w:line="400" w:lineRule="atLeast"/>
              <w:jc w:val="center"/>
              <w:rPr>
                <w:rFonts w:ascii="仿宋_GB2312" w:eastAsia="仿宋_GB2312" w:hAnsiTheme="minorEastAsia" w:cs="宋体" w:hint="eastAsia"/>
                <w:kern w:val="0"/>
                <w:sz w:val="24"/>
                <w:szCs w:val="24"/>
              </w:rPr>
            </w:pPr>
            <w:r>
              <w:rPr>
                <w:rFonts w:ascii="仿宋_GB2312" w:eastAsia="仿宋_GB2312" w:hAnsiTheme="minorEastAsia" w:cs="宋体" w:hint="eastAsia"/>
                <w:kern w:val="0"/>
                <w:sz w:val="24"/>
                <w:szCs w:val="24"/>
              </w:rPr>
              <w:t>总得分</w:t>
            </w:r>
          </w:p>
        </w:tc>
        <w:tc>
          <w:tcPr>
            <w:tcW w:w="4340" w:type="pct"/>
            <w:gridSpan w:val="2"/>
            <w:shd w:val="clear" w:color="auto" w:fill="auto"/>
            <w:tcMar>
              <w:top w:w="0" w:type="dxa"/>
              <w:left w:w="108" w:type="dxa"/>
              <w:bottom w:w="0" w:type="dxa"/>
              <w:right w:w="108" w:type="dxa"/>
            </w:tcMar>
            <w:vAlign w:val="center"/>
          </w:tcPr>
          <w:p w:rsidR="007E6393" w:rsidRPr="007E6393" w:rsidRDefault="007E6393" w:rsidP="00A82457">
            <w:pPr>
              <w:widowControl/>
              <w:spacing w:line="400" w:lineRule="atLeast"/>
              <w:jc w:val="center"/>
              <w:rPr>
                <w:rFonts w:ascii="仿宋_GB2312" w:eastAsia="仿宋_GB2312" w:hAnsiTheme="minorEastAsia" w:cs="宋体" w:hint="eastAsia"/>
                <w:kern w:val="0"/>
                <w:sz w:val="24"/>
                <w:szCs w:val="24"/>
              </w:rPr>
            </w:pPr>
          </w:p>
        </w:tc>
      </w:tr>
    </w:tbl>
    <w:p w:rsidR="00914B0F" w:rsidRPr="007E6393" w:rsidRDefault="007E6393">
      <w:pPr>
        <w:rPr>
          <w:rFonts w:ascii="仿宋_GB2312" w:eastAsia="仿宋_GB2312" w:hAnsi="宋体" w:cs="Times New Roman"/>
          <w:sz w:val="24"/>
          <w:szCs w:val="24"/>
        </w:rPr>
      </w:pPr>
      <w:r w:rsidRPr="007E6393">
        <w:rPr>
          <w:rFonts w:ascii="仿宋_GB2312" w:eastAsia="仿宋_GB2312" w:hAnsi="宋体" w:cs="Times New Roman" w:hint="eastAsia"/>
          <w:sz w:val="24"/>
          <w:szCs w:val="24"/>
        </w:rPr>
        <w:t>注：每个指标项的实际得分不得超过规定的最高分，</w:t>
      </w:r>
      <w:r>
        <w:rPr>
          <w:rFonts w:ascii="仿宋_GB2312" w:eastAsia="仿宋_GB2312" w:hAnsi="宋体" w:cs="Times New Roman" w:hint="eastAsia"/>
          <w:sz w:val="24"/>
          <w:szCs w:val="24"/>
        </w:rPr>
        <w:t>六</w:t>
      </w:r>
      <w:r w:rsidRPr="007E6393">
        <w:rPr>
          <w:rFonts w:ascii="仿宋_GB2312" w:eastAsia="仿宋_GB2312" w:hAnsi="宋体" w:cs="Times New Roman" w:hint="eastAsia"/>
          <w:sz w:val="24"/>
          <w:szCs w:val="24"/>
        </w:rPr>
        <w:t>项指标的实际得分之和为总得分。</w:t>
      </w:r>
    </w:p>
    <w:sectPr w:rsidR="00914B0F" w:rsidRPr="007E6393" w:rsidSect="00485BC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585" w:rsidRDefault="00956585" w:rsidP="005476F9">
      <w:r>
        <w:separator/>
      </w:r>
    </w:p>
  </w:endnote>
  <w:endnote w:type="continuationSeparator" w:id="0">
    <w:p w:rsidR="00956585" w:rsidRDefault="00956585" w:rsidP="0054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585" w:rsidRDefault="00956585" w:rsidP="005476F9">
      <w:r>
        <w:separator/>
      </w:r>
    </w:p>
  </w:footnote>
  <w:footnote w:type="continuationSeparator" w:id="0">
    <w:p w:rsidR="00956585" w:rsidRDefault="00956585" w:rsidP="00547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57"/>
    <w:rsid w:val="00485BC9"/>
    <w:rsid w:val="005476F9"/>
    <w:rsid w:val="006E6586"/>
    <w:rsid w:val="007E6393"/>
    <w:rsid w:val="00914B0F"/>
    <w:rsid w:val="00956585"/>
    <w:rsid w:val="009F7D91"/>
    <w:rsid w:val="00A82457"/>
    <w:rsid w:val="00C760C0"/>
    <w:rsid w:val="00D06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76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76F9"/>
    <w:rPr>
      <w:sz w:val="18"/>
      <w:szCs w:val="18"/>
    </w:rPr>
  </w:style>
  <w:style w:type="paragraph" w:styleId="a4">
    <w:name w:val="footer"/>
    <w:basedOn w:val="a"/>
    <w:link w:val="Char0"/>
    <w:uiPriority w:val="99"/>
    <w:unhideWhenUsed/>
    <w:rsid w:val="005476F9"/>
    <w:pPr>
      <w:tabs>
        <w:tab w:val="center" w:pos="4153"/>
        <w:tab w:val="right" w:pos="8306"/>
      </w:tabs>
      <w:snapToGrid w:val="0"/>
      <w:jc w:val="left"/>
    </w:pPr>
    <w:rPr>
      <w:sz w:val="18"/>
      <w:szCs w:val="18"/>
    </w:rPr>
  </w:style>
  <w:style w:type="character" w:customStyle="1" w:styleId="Char0">
    <w:name w:val="页脚 Char"/>
    <w:basedOn w:val="a0"/>
    <w:link w:val="a4"/>
    <w:uiPriority w:val="99"/>
    <w:rsid w:val="005476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76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76F9"/>
    <w:rPr>
      <w:sz w:val="18"/>
      <w:szCs w:val="18"/>
    </w:rPr>
  </w:style>
  <w:style w:type="paragraph" w:styleId="a4">
    <w:name w:val="footer"/>
    <w:basedOn w:val="a"/>
    <w:link w:val="Char0"/>
    <w:uiPriority w:val="99"/>
    <w:unhideWhenUsed/>
    <w:rsid w:val="005476F9"/>
    <w:pPr>
      <w:tabs>
        <w:tab w:val="center" w:pos="4153"/>
        <w:tab w:val="right" w:pos="8306"/>
      </w:tabs>
      <w:snapToGrid w:val="0"/>
      <w:jc w:val="left"/>
    </w:pPr>
    <w:rPr>
      <w:sz w:val="18"/>
      <w:szCs w:val="18"/>
    </w:rPr>
  </w:style>
  <w:style w:type="character" w:customStyle="1" w:styleId="Char0">
    <w:name w:val="页脚 Char"/>
    <w:basedOn w:val="a0"/>
    <w:link w:val="a4"/>
    <w:uiPriority w:val="99"/>
    <w:rsid w:val="005476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44687">
      <w:bodyDiv w:val="1"/>
      <w:marLeft w:val="0"/>
      <w:marRight w:val="0"/>
      <w:marTop w:val="0"/>
      <w:marBottom w:val="0"/>
      <w:divBdr>
        <w:top w:val="none" w:sz="0" w:space="0" w:color="auto"/>
        <w:left w:val="none" w:sz="0" w:space="0" w:color="auto"/>
        <w:bottom w:val="none" w:sz="0" w:space="0" w:color="auto"/>
        <w:right w:val="none" w:sz="0" w:space="0" w:color="auto"/>
      </w:divBdr>
      <w:divsChild>
        <w:div w:id="1634746352">
          <w:marLeft w:val="0"/>
          <w:marRight w:val="0"/>
          <w:marTop w:val="0"/>
          <w:marBottom w:val="156"/>
          <w:divBdr>
            <w:top w:val="none" w:sz="0" w:space="0" w:color="auto"/>
            <w:left w:val="none" w:sz="0" w:space="0" w:color="auto"/>
            <w:bottom w:val="none" w:sz="0" w:space="0" w:color="auto"/>
            <w:right w:val="none" w:sz="0" w:space="0" w:color="auto"/>
          </w:divBdr>
        </w:div>
        <w:div w:id="1847137429">
          <w:marLeft w:val="0"/>
          <w:marRight w:val="0"/>
          <w:marTop w:val="0"/>
          <w:marBottom w:val="156"/>
          <w:divBdr>
            <w:top w:val="none" w:sz="0" w:space="0" w:color="auto"/>
            <w:left w:val="none" w:sz="0" w:space="0" w:color="auto"/>
            <w:bottom w:val="none" w:sz="0" w:space="0" w:color="auto"/>
            <w:right w:val="none" w:sz="0" w:space="0" w:color="auto"/>
          </w:divBdr>
        </w:div>
        <w:div w:id="956910144">
          <w:marLeft w:val="0"/>
          <w:marRight w:val="0"/>
          <w:marTop w:val="0"/>
          <w:marBottom w:val="0"/>
          <w:divBdr>
            <w:top w:val="none" w:sz="0" w:space="0" w:color="auto"/>
            <w:left w:val="none" w:sz="0" w:space="0" w:color="auto"/>
            <w:bottom w:val="none" w:sz="0" w:space="0" w:color="auto"/>
            <w:right w:val="none" w:sz="0" w:space="0" w:color="auto"/>
          </w:divBdr>
        </w:div>
        <w:div w:id="951938668">
          <w:marLeft w:val="0"/>
          <w:marRight w:val="0"/>
          <w:marTop w:val="0"/>
          <w:marBottom w:val="0"/>
          <w:divBdr>
            <w:top w:val="none" w:sz="0" w:space="0" w:color="auto"/>
            <w:left w:val="none" w:sz="0" w:space="0" w:color="auto"/>
            <w:bottom w:val="none" w:sz="0" w:space="0" w:color="auto"/>
            <w:right w:val="none" w:sz="0" w:space="0" w:color="auto"/>
          </w:divBdr>
        </w:div>
        <w:div w:id="1784154796">
          <w:marLeft w:val="0"/>
          <w:marRight w:val="0"/>
          <w:marTop w:val="0"/>
          <w:marBottom w:val="0"/>
          <w:divBdr>
            <w:top w:val="none" w:sz="0" w:space="0" w:color="auto"/>
            <w:left w:val="none" w:sz="0" w:space="0" w:color="auto"/>
            <w:bottom w:val="none" w:sz="0" w:space="0" w:color="auto"/>
            <w:right w:val="none" w:sz="0" w:space="0" w:color="auto"/>
          </w:divBdr>
        </w:div>
        <w:div w:id="1197621382">
          <w:marLeft w:val="0"/>
          <w:marRight w:val="0"/>
          <w:marTop w:val="0"/>
          <w:marBottom w:val="0"/>
          <w:divBdr>
            <w:top w:val="none" w:sz="0" w:space="0" w:color="auto"/>
            <w:left w:val="none" w:sz="0" w:space="0" w:color="auto"/>
            <w:bottom w:val="none" w:sz="0" w:space="0" w:color="auto"/>
            <w:right w:val="none" w:sz="0" w:space="0" w:color="auto"/>
          </w:divBdr>
        </w:div>
        <w:div w:id="1046223005">
          <w:marLeft w:val="0"/>
          <w:marRight w:val="0"/>
          <w:marTop w:val="0"/>
          <w:marBottom w:val="0"/>
          <w:divBdr>
            <w:top w:val="none" w:sz="0" w:space="0" w:color="auto"/>
            <w:left w:val="none" w:sz="0" w:space="0" w:color="auto"/>
            <w:bottom w:val="none" w:sz="0" w:space="0" w:color="auto"/>
            <w:right w:val="none" w:sz="0" w:space="0" w:color="auto"/>
          </w:divBdr>
        </w:div>
        <w:div w:id="292833809">
          <w:marLeft w:val="0"/>
          <w:marRight w:val="0"/>
          <w:marTop w:val="0"/>
          <w:marBottom w:val="0"/>
          <w:divBdr>
            <w:top w:val="none" w:sz="0" w:space="0" w:color="auto"/>
            <w:left w:val="none" w:sz="0" w:space="0" w:color="auto"/>
            <w:bottom w:val="none" w:sz="0" w:space="0" w:color="auto"/>
            <w:right w:val="none" w:sz="0" w:space="0" w:color="auto"/>
          </w:divBdr>
        </w:div>
        <w:div w:id="116141879">
          <w:marLeft w:val="0"/>
          <w:marRight w:val="0"/>
          <w:marTop w:val="0"/>
          <w:marBottom w:val="0"/>
          <w:divBdr>
            <w:top w:val="none" w:sz="0" w:space="0" w:color="auto"/>
            <w:left w:val="none" w:sz="0" w:space="0" w:color="auto"/>
            <w:bottom w:val="none" w:sz="0" w:space="0" w:color="auto"/>
            <w:right w:val="none" w:sz="0" w:space="0" w:color="auto"/>
          </w:divBdr>
        </w:div>
        <w:div w:id="847868295">
          <w:marLeft w:val="0"/>
          <w:marRight w:val="0"/>
          <w:marTop w:val="0"/>
          <w:marBottom w:val="0"/>
          <w:divBdr>
            <w:top w:val="none" w:sz="0" w:space="0" w:color="auto"/>
            <w:left w:val="none" w:sz="0" w:space="0" w:color="auto"/>
            <w:bottom w:val="none" w:sz="0" w:space="0" w:color="auto"/>
            <w:right w:val="none" w:sz="0" w:space="0" w:color="auto"/>
          </w:divBdr>
        </w:div>
        <w:div w:id="368997315">
          <w:marLeft w:val="0"/>
          <w:marRight w:val="0"/>
          <w:marTop w:val="0"/>
          <w:marBottom w:val="0"/>
          <w:divBdr>
            <w:top w:val="none" w:sz="0" w:space="0" w:color="auto"/>
            <w:left w:val="none" w:sz="0" w:space="0" w:color="auto"/>
            <w:bottom w:val="none" w:sz="0" w:space="0" w:color="auto"/>
            <w:right w:val="none" w:sz="0" w:space="0" w:color="auto"/>
          </w:divBdr>
        </w:div>
        <w:div w:id="450824416">
          <w:marLeft w:val="0"/>
          <w:marRight w:val="0"/>
          <w:marTop w:val="0"/>
          <w:marBottom w:val="0"/>
          <w:divBdr>
            <w:top w:val="none" w:sz="0" w:space="0" w:color="auto"/>
            <w:left w:val="none" w:sz="0" w:space="0" w:color="auto"/>
            <w:bottom w:val="none" w:sz="0" w:space="0" w:color="auto"/>
            <w:right w:val="none" w:sz="0" w:space="0" w:color="auto"/>
          </w:divBdr>
        </w:div>
        <w:div w:id="1896432226">
          <w:marLeft w:val="0"/>
          <w:marRight w:val="0"/>
          <w:marTop w:val="0"/>
          <w:marBottom w:val="0"/>
          <w:divBdr>
            <w:top w:val="none" w:sz="0" w:space="0" w:color="auto"/>
            <w:left w:val="none" w:sz="0" w:space="0" w:color="auto"/>
            <w:bottom w:val="none" w:sz="0" w:space="0" w:color="auto"/>
            <w:right w:val="none" w:sz="0" w:space="0" w:color="auto"/>
          </w:divBdr>
        </w:div>
        <w:div w:id="965888849">
          <w:marLeft w:val="0"/>
          <w:marRight w:val="0"/>
          <w:marTop w:val="0"/>
          <w:marBottom w:val="0"/>
          <w:divBdr>
            <w:top w:val="none" w:sz="0" w:space="0" w:color="auto"/>
            <w:left w:val="none" w:sz="0" w:space="0" w:color="auto"/>
            <w:bottom w:val="none" w:sz="0" w:space="0" w:color="auto"/>
            <w:right w:val="none" w:sz="0" w:space="0" w:color="auto"/>
          </w:divBdr>
        </w:div>
        <w:div w:id="171069845">
          <w:marLeft w:val="0"/>
          <w:marRight w:val="0"/>
          <w:marTop w:val="0"/>
          <w:marBottom w:val="0"/>
          <w:divBdr>
            <w:top w:val="none" w:sz="0" w:space="0" w:color="auto"/>
            <w:left w:val="none" w:sz="0" w:space="0" w:color="auto"/>
            <w:bottom w:val="none" w:sz="0" w:space="0" w:color="auto"/>
            <w:right w:val="none" w:sz="0" w:space="0" w:color="auto"/>
          </w:divBdr>
        </w:div>
        <w:div w:id="1395742453">
          <w:marLeft w:val="-111"/>
          <w:marRight w:val="-99"/>
          <w:marTop w:val="0"/>
          <w:marBottom w:val="0"/>
          <w:divBdr>
            <w:top w:val="none" w:sz="0" w:space="0" w:color="auto"/>
            <w:left w:val="none" w:sz="0" w:space="0" w:color="auto"/>
            <w:bottom w:val="none" w:sz="0" w:space="0" w:color="auto"/>
            <w:right w:val="none" w:sz="0" w:space="0" w:color="auto"/>
          </w:divBdr>
        </w:div>
        <w:div w:id="352271576">
          <w:marLeft w:val="0"/>
          <w:marRight w:val="0"/>
          <w:marTop w:val="0"/>
          <w:marBottom w:val="0"/>
          <w:divBdr>
            <w:top w:val="none" w:sz="0" w:space="0" w:color="auto"/>
            <w:left w:val="none" w:sz="0" w:space="0" w:color="auto"/>
            <w:bottom w:val="none" w:sz="0" w:space="0" w:color="auto"/>
            <w:right w:val="none" w:sz="0" w:space="0" w:color="auto"/>
          </w:divBdr>
        </w:div>
        <w:div w:id="1145127692">
          <w:marLeft w:val="0"/>
          <w:marRight w:val="0"/>
          <w:marTop w:val="0"/>
          <w:marBottom w:val="0"/>
          <w:divBdr>
            <w:top w:val="none" w:sz="0" w:space="0" w:color="auto"/>
            <w:left w:val="none" w:sz="0" w:space="0" w:color="auto"/>
            <w:bottom w:val="none" w:sz="0" w:space="0" w:color="auto"/>
            <w:right w:val="none" w:sz="0" w:space="0" w:color="auto"/>
          </w:divBdr>
        </w:div>
        <w:div w:id="1068721855">
          <w:marLeft w:val="0"/>
          <w:marRight w:val="0"/>
          <w:marTop w:val="312"/>
          <w:marBottom w:val="0"/>
          <w:divBdr>
            <w:top w:val="none" w:sz="0" w:space="0" w:color="auto"/>
            <w:left w:val="none" w:sz="0" w:space="0" w:color="auto"/>
            <w:bottom w:val="none" w:sz="0" w:space="0" w:color="auto"/>
            <w:right w:val="none" w:sz="0" w:space="0" w:color="auto"/>
          </w:divBdr>
        </w:div>
        <w:div w:id="128392039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王果</dc:creator>
  <cp:lastModifiedBy>王果</cp:lastModifiedBy>
  <cp:revision>3</cp:revision>
  <cp:lastPrinted>2017-02-25T12:38:00Z</cp:lastPrinted>
  <dcterms:created xsi:type="dcterms:W3CDTF">2017-02-25T12:55:00Z</dcterms:created>
  <dcterms:modified xsi:type="dcterms:W3CDTF">2017-02-25T13:22:00Z</dcterms:modified>
</cp:coreProperties>
</file>